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E7CA9" w14:textId="28C72C28" w:rsidR="00AF3DEA" w:rsidRPr="00DD605F" w:rsidRDefault="00DD605F" w:rsidP="00DD605F">
      <w:pPr>
        <w:pStyle w:val="FirstParagraph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D605F">
        <w:rPr>
          <w:rFonts w:ascii="Times New Roman" w:hAnsi="Times New Roman" w:cs="Times New Roman"/>
          <w:b/>
          <w:sz w:val="22"/>
          <w:szCs w:val="22"/>
        </w:rPr>
        <w:t>Supplementary Material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F82C56" w:rsidRPr="00DD605F"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 w:rsidR="003676DF" w:rsidRPr="00DD605F">
        <w:rPr>
          <w:rFonts w:ascii="Times New Roman" w:hAnsi="Times New Roman" w:cs="Times New Roman"/>
          <w:b/>
          <w:bCs/>
          <w:sz w:val="22"/>
          <w:szCs w:val="22"/>
        </w:rPr>
        <w:t>1. Blueprint of Validation Instrument for LKM Development</w:t>
      </w:r>
    </w:p>
    <w:tbl>
      <w:tblPr>
        <w:tblStyle w:val="TableGrid"/>
        <w:tblW w:w="4886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20" w:firstRow="1" w:lastRow="0" w:firstColumn="0" w:lastColumn="0" w:noHBand="0" w:noVBand="0"/>
      </w:tblPr>
      <w:tblGrid>
        <w:gridCol w:w="1763"/>
        <w:gridCol w:w="2335"/>
        <w:gridCol w:w="2335"/>
        <w:gridCol w:w="2925"/>
      </w:tblGrid>
      <w:tr w:rsidR="00AF3DEA" w:rsidRPr="00DD605F" w14:paraId="1813BFCE" w14:textId="77777777" w:rsidTr="00DD605F">
        <w:tc>
          <w:tcPr>
            <w:tcW w:w="1763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7E013D20" w14:textId="77777777" w:rsidR="00AF3DEA" w:rsidRPr="00DD605F" w:rsidRDefault="003676DF" w:rsidP="00F82C56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b/>
                <w:sz w:val="22"/>
                <w:szCs w:val="22"/>
              </w:rPr>
              <w:t>Aspect</w:t>
            </w:r>
          </w:p>
        </w:tc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1092FDBF" w14:textId="77777777" w:rsidR="00AF3DEA" w:rsidRPr="00DD605F" w:rsidRDefault="003676DF" w:rsidP="00F82C56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b/>
                <w:sz w:val="22"/>
                <w:szCs w:val="22"/>
              </w:rPr>
              <w:t>Dimension</w:t>
            </w:r>
          </w:p>
        </w:tc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721D4B72" w14:textId="77777777" w:rsidR="00AF3DEA" w:rsidRPr="00DD605F" w:rsidRDefault="003676DF" w:rsidP="00F82C56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b/>
                <w:sz w:val="22"/>
                <w:szCs w:val="22"/>
              </w:rPr>
              <w:t>Indicator</w:t>
            </w:r>
          </w:p>
        </w:tc>
        <w:tc>
          <w:tcPr>
            <w:tcW w:w="2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E8E8E8" w:themeFill="background2"/>
          </w:tcPr>
          <w:p w14:paraId="68E4440E" w14:textId="77777777" w:rsidR="00AF3DEA" w:rsidRPr="00DD605F" w:rsidRDefault="003676DF" w:rsidP="00F82C56">
            <w:pPr>
              <w:pStyle w:val="Compac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b/>
                <w:sz w:val="22"/>
                <w:szCs w:val="22"/>
              </w:rPr>
              <w:t>Sample Item</w:t>
            </w:r>
          </w:p>
        </w:tc>
      </w:tr>
      <w:tr w:rsidR="003676DF" w:rsidRPr="00DD605F" w14:paraId="1CD84F5B" w14:textId="77777777" w:rsidTr="00DD605F">
        <w:tc>
          <w:tcPr>
            <w:tcW w:w="1763" w:type="dxa"/>
            <w:vMerge w:val="restart"/>
            <w:tcBorders>
              <w:top w:val="single" w:sz="4" w:space="0" w:color="auto"/>
            </w:tcBorders>
          </w:tcPr>
          <w:p w14:paraId="48B1F8D5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Content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</w:tcBorders>
          </w:tcPr>
          <w:p w14:paraId="6EA3E9A7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Relevance of Case</w:t>
            </w:r>
          </w:p>
        </w:tc>
        <w:tc>
          <w:tcPr>
            <w:tcW w:w="2335" w:type="dxa"/>
            <w:tcBorders>
              <w:top w:val="single" w:sz="4" w:space="0" w:color="auto"/>
            </w:tcBorders>
          </w:tcPr>
          <w:p w14:paraId="2147A98D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Case aligns with emotional development concepts</w:t>
            </w:r>
          </w:p>
        </w:tc>
        <w:tc>
          <w:tcPr>
            <w:tcW w:w="2925" w:type="dxa"/>
            <w:tcBorders>
              <w:top w:val="single" w:sz="4" w:space="0" w:color="auto"/>
            </w:tcBorders>
          </w:tcPr>
          <w:p w14:paraId="55403FB1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presented case is relevant to emotional development concepts</w:t>
            </w:r>
          </w:p>
        </w:tc>
      </w:tr>
      <w:tr w:rsidR="003676DF" w:rsidRPr="00DD605F" w14:paraId="4275273C" w14:textId="77777777" w:rsidTr="00DD605F">
        <w:tc>
          <w:tcPr>
            <w:tcW w:w="1763" w:type="dxa"/>
            <w:vMerge/>
          </w:tcPr>
          <w:p w14:paraId="316918AC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  <w:vMerge/>
          </w:tcPr>
          <w:p w14:paraId="27E44452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7B1DBC5A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Case reflects real-life situations</w:t>
            </w:r>
          </w:p>
        </w:tc>
        <w:tc>
          <w:tcPr>
            <w:tcW w:w="2925" w:type="dxa"/>
          </w:tcPr>
          <w:p w14:paraId="3ECFBC3C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presented case reflects real-life situations of students</w:t>
            </w:r>
          </w:p>
        </w:tc>
      </w:tr>
      <w:tr w:rsidR="00F82C56" w:rsidRPr="00DD605F" w14:paraId="18F0326B" w14:textId="77777777" w:rsidTr="00DD605F">
        <w:tc>
          <w:tcPr>
            <w:tcW w:w="1763" w:type="dxa"/>
            <w:vMerge/>
          </w:tcPr>
          <w:p w14:paraId="236EEFAE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71EDB99A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Theory Alignment</w:t>
            </w:r>
          </w:p>
        </w:tc>
        <w:tc>
          <w:tcPr>
            <w:tcW w:w="2335" w:type="dxa"/>
          </w:tcPr>
          <w:p w14:paraId="47F64F84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Case can be analyzed using theory</w:t>
            </w:r>
          </w:p>
        </w:tc>
        <w:tc>
          <w:tcPr>
            <w:tcW w:w="2925" w:type="dxa"/>
          </w:tcPr>
          <w:p w14:paraId="4F555D7C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case can be analyzed using emotional development theory</w:t>
            </w:r>
          </w:p>
        </w:tc>
      </w:tr>
      <w:tr w:rsidR="003676DF" w:rsidRPr="00DD605F" w14:paraId="56EE31DB" w14:textId="77777777" w:rsidTr="00DD605F">
        <w:tc>
          <w:tcPr>
            <w:tcW w:w="1763" w:type="dxa"/>
            <w:vMerge/>
          </w:tcPr>
          <w:p w14:paraId="51CAFA94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  <w:vMerge w:val="restart"/>
          </w:tcPr>
          <w:p w14:paraId="72FBD315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Critical Thinking</w:t>
            </w:r>
          </w:p>
        </w:tc>
        <w:tc>
          <w:tcPr>
            <w:tcW w:w="2335" w:type="dxa"/>
          </w:tcPr>
          <w:p w14:paraId="41DDCC3B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Supports problem identification</w:t>
            </w:r>
          </w:p>
        </w:tc>
        <w:tc>
          <w:tcPr>
            <w:tcW w:w="2925" w:type="dxa"/>
          </w:tcPr>
          <w:p w14:paraId="74F0DA28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case helps students identify problems accurately</w:t>
            </w:r>
          </w:p>
        </w:tc>
      </w:tr>
      <w:tr w:rsidR="003676DF" w:rsidRPr="00DD605F" w14:paraId="6AB39D41" w14:textId="77777777" w:rsidTr="00DD605F">
        <w:tc>
          <w:tcPr>
            <w:tcW w:w="1763" w:type="dxa"/>
            <w:vMerge/>
          </w:tcPr>
          <w:p w14:paraId="0AFB8C2F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  <w:vMerge/>
          </w:tcPr>
          <w:p w14:paraId="6F3D9095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27E09619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Supports analysis</w:t>
            </w:r>
          </w:p>
        </w:tc>
        <w:tc>
          <w:tcPr>
            <w:tcW w:w="2925" w:type="dxa"/>
          </w:tcPr>
          <w:p w14:paraId="6DEAFB32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case encourages analysis of theory and phenomena</w:t>
            </w:r>
          </w:p>
        </w:tc>
      </w:tr>
      <w:tr w:rsidR="003676DF" w:rsidRPr="00DD605F" w14:paraId="7F064C24" w14:textId="77777777" w:rsidTr="00DD605F">
        <w:tc>
          <w:tcPr>
            <w:tcW w:w="1763" w:type="dxa"/>
            <w:vMerge/>
          </w:tcPr>
          <w:p w14:paraId="07A4BCA1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  <w:vMerge w:val="restart"/>
          </w:tcPr>
          <w:p w14:paraId="55E5232F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Problem Solving</w:t>
            </w:r>
          </w:p>
        </w:tc>
        <w:tc>
          <w:tcPr>
            <w:tcW w:w="2335" w:type="dxa"/>
          </w:tcPr>
          <w:p w14:paraId="5283B2D7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Supports solution development</w:t>
            </w:r>
          </w:p>
        </w:tc>
        <w:tc>
          <w:tcPr>
            <w:tcW w:w="2925" w:type="dxa"/>
          </w:tcPr>
          <w:p w14:paraId="2170CA1C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case encourages development of rational solutions</w:t>
            </w:r>
          </w:p>
        </w:tc>
      </w:tr>
      <w:tr w:rsidR="003676DF" w:rsidRPr="00DD605F" w14:paraId="6A2E8079" w14:textId="77777777" w:rsidTr="00DD605F">
        <w:tc>
          <w:tcPr>
            <w:tcW w:w="1763" w:type="dxa"/>
            <w:vMerge/>
          </w:tcPr>
          <w:p w14:paraId="2FA3F538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  <w:vMerge/>
          </w:tcPr>
          <w:p w14:paraId="40032DCD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5500DDC0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Supports decision making</w:t>
            </w:r>
          </w:p>
        </w:tc>
        <w:tc>
          <w:tcPr>
            <w:tcW w:w="2925" w:type="dxa"/>
          </w:tcPr>
          <w:p w14:paraId="1D47E525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case supports decision-making based on analysis</w:t>
            </w:r>
          </w:p>
        </w:tc>
      </w:tr>
      <w:tr w:rsidR="00F82C56" w:rsidRPr="00DD605F" w14:paraId="018BE7E4" w14:textId="77777777" w:rsidTr="00DD605F">
        <w:tc>
          <w:tcPr>
            <w:tcW w:w="1763" w:type="dxa"/>
            <w:vMerge w:val="restart"/>
          </w:tcPr>
          <w:p w14:paraId="15039F77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Pedagogical</w:t>
            </w:r>
          </w:p>
        </w:tc>
        <w:tc>
          <w:tcPr>
            <w:tcW w:w="2335" w:type="dxa"/>
          </w:tcPr>
          <w:p w14:paraId="47095539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Learning Objectives</w:t>
            </w:r>
          </w:p>
        </w:tc>
        <w:tc>
          <w:tcPr>
            <w:tcW w:w="2335" w:type="dxa"/>
          </w:tcPr>
          <w:p w14:paraId="4C174000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Alignment with learning outcomes</w:t>
            </w:r>
          </w:p>
        </w:tc>
        <w:tc>
          <w:tcPr>
            <w:tcW w:w="2925" w:type="dxa"/>
          </w:tcPr>
          <w:p w14:paraId="32FF271A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LKM aligns with the intended learning objectives</w:t>
            </w:r>
          </w:p>
        </w:tc>
      </w:tr>
      <w:tr w:rsidR="00F82C56" w:rsidRPr="00DD605F" w14:paraId="0A6936A3" w14:textId="77777777" w:rsidTr="00DD605F">
        <w:tc>
          <w:tcPr>
            <w:tcW w:w="1763" w:type="dxa"/>
            <w:vMerge/>
          </w:tcPr>
          <w:p w14:paraId="6F4BC854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  <w:vMerge w:val="restart"/>
            <w:vAlign w:val="center"/>
          </w:tcPr>
          <w:p w14:paraId="495128B1" w14:textId="77777777" w:rsidR="00F82C56" w:rsidRPr="00DD605F" w:rsidRDefault="00F82C56" w:rsidP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PBL Syntax</w:t>
            </w:r>
          </w:p>
        </w:tc>
        <w:tc>
          <w:tcPr>
            <w:tcW w:w="2335" w:type="dxa"/>
          </w:tcPr>
          <w:p w14:paraId="4992DC27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Problem orientation</w:t>
            </w:r>
          </w:p>
        </w:tc>
        <w:tc>
          <w:tcPr>
            <w:tcW w:w="2925" w:type="dxa"/>
          </w:tcPr>
          <w:p w14:paraId="22149372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LKM presents contextual problems</w:t>
            </w:r>
          </w:p>
        </w:tc>
      </w:tr>
      <w:tr w:rsidR="00F82C56" w:rsidRPr="00DD605F" w14:paraId="268D7CD0" w14:textId="77777777" w:rsidTr="00DD605F">
        <w:tc>
          <w:tcPr>
            <w:tcW w:w="1763" w:type="dxa"/>
            <w:vMerge/>
          </w:tcPr>
          <w:p w14:paraId="0161C3DD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  <w:vMerge/>
          </w:tcPr>
          <w:p w14:paraId="1EA3B50D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09657D4F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Problem identification</w:t>
            </w:r>
          </w:p>
        </w:tc>
        <w:tc>
          <w:tcPr>
            <w:tcW w:w="2925" w:type="dxa"/>
          </w:tcPr>
          <w:p w14:paraId="1584E68D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LKM guides students to identify problems</w:t>
            </w:r>
          </w:p>
        </w:tc>
      </w:tr>
      <w:tr w:rsidR="00F82C56" w:rsidRPr="00DD605F" w14:paraId="7A9D4D8C" w14:textId="77777777" w:rsidTr="00DD605F">
        <w:tc>
          <w:tcPr>
            <w:tcW w:w="1763" w:type="dxa"/>
            <w:vMerge/>
          </w:tcPr>
          <w:p w14:paraId="1CFA01A2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  <w:vMerge/>
          </w:tcPr>
          <w:p w14:paraId="3E1D5950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06F82FC4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Investigation</w:t>
            </w:r>
          </w:p>
        </w:tc>
        <w:tc>
          <w:tcPr>
            <w:tcW w:w="2925" w:type="dxa"/>
          </w:tcPr>
          <w:p w14:paraId="7A4D17F7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LKM guides students to collect relevant information</w:t>
            </w:r>
          </w:p>
        </w:tc>
      </w:tr>
      <w:tr w:rsidR="00F82C56" w:rsidRPr="00DD605F" w14:paraId="03BD4B70" w14:textId="77777777" w:rsidTr="00DD605F">
        <w:tc>
          <w:tcPr>
            <w:tcW w:w="1763" w:type="dxa"/>
            <w:vMerge/>
          </w:tcPr>
          <w:p w14:paraId="7FB4E692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  <w:vMerge/>
          </w:tcPr>
          <w:p w14:paraId="59FE72D6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11886911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Analysis</w:t>
            </w:r>
          </w:p>
        </w:tc>
        <w:tc>
          <w:tcPr>
            <w:tcW w:w="2925" w:type="dxa"/>
          </w:tcPr>
          <w:p w14:paraId="3933652D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LKM facilitates analysis using theory</w:t>
            </w:r>
          </w:p>
        </w:tc>
      </w:tr>
      <w:tr w:rsidR="00F82C56" w:rsidRPr="00DD605F" w14:paraId="3FF98D61" w14:textId="77777777" w:rsidTr="00DD605F">
        <w:tc>
          <w:tcPr>
            <w:tcW w:w="1763" w:type="dxa"/>
            <w:vMerge/>
          </w:tcPr>
          <w:p w14:paraId="1003C43C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  <w:vMerge/>
          </w:tcPr>
          <w:p w14:paraId="7B8BDC47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3F8E8F9F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Solution development</w:t>
            </w:r>
          </w:p>
        </w:tc>
        <w:tc>
          <w:tcPr>
            <w:tcW w:w="2925" w:type="dxa"/>
          </w:tcPr>
          <w:p w14:paraId="5B289C1B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LKM guides students to develop solutions</w:t>
            </w:r>
          </w:p>
        </w:tc>
      </w:tr>
      <w:tr w:rsidR="00F82C56" w:rsidRPr="00DD605F" w14:paraId="646CCE04" w14:textId="77777777" w:rsidTr="00DD605F">
        <w:tc>
          <w:tcPr>
            <w:tcW w:w="1763" w:type="dxa"/>
            <w:vMerge/>
          </w:tcPr>
          <w:p w14:paraId="63B18659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2C7BE272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Critical Thinking</w:t>
            </w:r>
          </w:p>
        </w:tc>
        <w:tc>
          <w:tcPr>
            <w:tcW w:w="2335" w:type="dxa"/>
          </w:tcPr>
          <w:p w14:paraId="27AAE849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Encourages analysis and evaluation</w:t>
            </w:r>
          </w:p>
        </w:tc>
        <w:tc>
          <w:tcPr>
            <w:tcW w:w="2925" w:type="dxa"/>
          </w:tcPr>
          <w:p w14:paraId="629E0D30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LKM supports analytical thinking processes</w:t>
            </w:r>
          </w:p>
        </w:tc>
      </w:tr>
      <w:tr w:rsidR="00F82C56" w:rsidRPr="00DD605F" w14:paraId="6961C892" w14:textId="77777777" w:rsidTr="00DD605F">
        <w:tc>
          <w:tcPr>
            <w:tcW w:w="1763" w:type="dxa"/>
            <w:vMerge/>
          </w:tcPr>
          <w:p w14:paraId="3D2858A7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4FDDD968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Student Engagement</w:t>
            </w:r>
          </w:p>
        </w:tc>
        <w:tc>
          <w:tcPr>
            <w:tcW w:w="2335" w:type="dxa"/>
          </w:tcPr>
          <w:p w14:paraId="0CEA435A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Encourages participation</w:t>
            </w:r>
          </w:p>
        </w:tc>
        <w:tc>
          <w:tcPr>
            <w:tcW w:w="2925" w:type="dxa"/>
          </w:tcPr>
          <w:p w14:paraId="12267BA3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LKM promotes active student involvement</w:t>
            </w:r>
          </w:p>
        </w:tc>
      </w:tr>
      <w:tr w:rsidR="003676DF" w:rsidRPr="00DD605F" w14:paraId="7ECA63C1" w14:textId="77777777" w:rsidTr="00DD605F">
        <w:tc>
          <w:tcPr>
            <w:tcW w:w="1763" w:type="dxa"/>
            <w:vMerge w:val="restart"/>
          </w:tcPr>
          <w:p w14:paraId="67587742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Design</w:t>
            </w:r>
          </w:p>
        </w:tc>
        <w:tc>
          <w:tcPr>
            <w:tcW w:w="2335" w:type="dxa"/>
            <w:vMerge w:val="restart"/>
            <w:vAlign w:val="center"/>
          </w:tcPr>
          <w:p w14:paraId="47E4003C" w14:textId="77777777" w:rsidR="003676DF" w:rsidRPr="00DD605F" w:rsidRDefault="003676DF" w:rsidP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Layout</w:t>
            </w:r>
          </w:p>
        </w:tc>
        <w:tc>
          <w:tcPr>
            <w:tcW w:w="2335" w:type="dxa"/>
          </w:tcPr>
          <w:p w14:paraId="10E9CECC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Organization</w:t>
            </w:r>
          </w:p>
        </w:tc>
        <w:tc>
          <w:tcPr>
            <w:tcW w:w="2925" w:type="dxa"/>
          </w:tcPr>
          <w:p w14:paraId="74AF2925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layout of the LKM is arranged systematically</w:t>
            </w:r>
          </w:p>
        </w:tc>
      </w:tr>
      <w:tr w:rsidR="003676DF" w:rsidRPr="00DD605F" w14:paraId="43DD9D6C" w14:textId="77777777" w:rsidTr="00DD605F">
        <w:tc>
          <w:tcPr>
            <w:tcW w:w="1763" w:type="dxa"/>
            <w:vMerge/>
          </w:tcPr>
          <w:p w14:paraId="3561D1EF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  <w:vMerge/>
          </w:tcPr>
          <w:p w14:paraId="04BF8A2E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4324BDB5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Readability</w:t>
            </w:r>
          </w:p>
        </w:tc>
        <w:tc>
          <w:tcPr>
            <w:tcW w:w="2925" w:type="dxa"/>
          </w:tcPr>
          <w:p w14:paraId="738EAF07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spacing and layout support readability</w:t>
            </w:r>
          </w:p>
        </w:tc>
      </w:tr>
      <w:tr w:rsidR="003676DF" w:rsidRPr="00DD605F" w14:paraId="414902BB" w14:textId="77777777" w:rsidTr="00DD605F">
        <w:tc>
          <w:tcPr>
            <w:tcW w:w="1763" w:type="dxa"/>
            <w:vMerge/>
          </w:tcPr>
          <w:p w14:paraId="27ED1812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4DC12A3A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Typography</w:t>
            </w:r>
          </w:p>
        </w:tc>
        <w:tc>
          <w:tcPr>
            <w:tcW w:w="2335" w:type="dxa"/>
          </w:tcPr>
          <w:p w14:paraId="067DDC0C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Font clarity</w:t>
            </w:r>
          </w:p>
        </w:tc>
        <w:tc>
          <w:tcPr>
            <w:tcW w:w="2925" w:type="dxa"/>
          </w:tcPr>
          <w:p w14:paraId="256F7E32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font used is easy to read</w:t>
            </w:r>
          </w:p>
        </w:tc>
      </w:tr>
      <w:tr w:rsidR="003676DF" w:rsidRPr="00DD605F" w14:paraId="345C55FD" w14:textId="77777777" w:rsidTr="00DD605F">
        <w:tc>
          <w:tcPr>
            <w:tcW w:w="1763" w:type="dxa"/>
            <w:vMerge/>
          </w:tcPr>
          <w:p w14:paraId="28FA8D1D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  <w:vMerge w:val="restart"/>
            <w:vAlign w:val="center"/>
          </w:tcPr>
          <w:p w14:paraId="2F044875" w14:textId="77777777" w:rsidR="003676DF" w:rsidRPr="00DD605F" w:rsidRDefault="003676DF" w:rsidP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Visual</w:t>
            </w:r>
          </w:p>
        </w:tc>
        <w:tc>
          <w:tcPr>
            <w:tcW w:w="2335" w:type="dxa"/>
          </w:tcPr>
          <w:p w14:paraId="525C8FD0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Image relevance</w:t>
            </w:r>
          </w:p>
        </w:tc>
        <w:tc>
          <w:tcPr>
            <w:tcW w:w="2925" w:type="dxa"/>
          </w:tcPr>
          <w:p w14:paraId="4405FA33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Images are relevant to the content</w:t>
            </w:r>
          </w:p>
        </w:tc>
      </w:tr>
      <w:tr w:rsidR="003676DF" w:rsidRPr="00DD605F" w14:paraId="55B0FE03" w14:textId="77777777" w:rsidTr="00DD605F">
        <w:tc>
          <w:tcPr>
            <w:tcW w:w="1763" w:type="dxa"/>
            <w:vMerge/>
          </w:tcPr>
          <w:p w14:paraId="555B8E1F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  <w:vMerge/>
          </w:tcPr>
          <w:p w14:paraId="3468127B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1799BCA5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Image quality</w:t>
            </w:r>
          </w:p>
        </w:tc>
        <w:tc>
          <w:tcPr>
            <w:tcW w:w="2925" w:type="dxa"/>
          </w:tcPr>
          <w:p w14:paraId="7FE6D61C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 xml:space="preserve">Images are clear and not </w:t>
            </w:r>
            <w:r w:rsidRPr="00DD605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blurred</w:t>
            </w:r>
          </w:p>
        </w:tc>
      </w:tr>
      <w:tr w:rsidR="003676DF" w:rsidRPr="00DD605F" w14:paraId="66B7DE84" w14:textId="77777777" w:rsidTr="00DD605F">
        <w:tc>
          <w:tcPr>
            <w:tcW w:w="1763" w:type="dxa"/>
            <w:vMerge/>
          </w:tcPr>
          <w:p w14:paraId="020D8D17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5CEA5038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Consistency</w:t>
            </w:r>
          </w:p>
        </w:tc>
        <w:tc>
          <w:tcPr>
            <w:tcW w:w="2335" w:type="dxa"/>
          </w:tcPr>
          <w:p w14:paraId="24145C46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Formatting consistency</w:t>
            </w:r>
          </w:p>
        </w:tc>
        <w:tc>
          <w:tcPr>
            <w:tcW w:w="2925" w:type="dxa"/>
          </w:tcPr>
          <w:p w14:paraId="3C24B170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Formatting is consistent across sections</w:t>
            </w:r>
          </w:p>
        </w:tc>
      </w:tr>
      <w:tr w:rsidR="003676DF" w:rsidRPr="00DD605F" w14:paraId="6BA08539" w14:textId="77777777" w:rsidTr="00DD605F">
        <w:tc>
          <w:tcPr>
            <w:tcW w:w="1763" w:type="dxa"/>
            <w:vMerge/>
          </w:tcPr>
          <w:p w14:paraId="36E05D13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585F63B0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Visual Appeal</w:t>
            </w:r>
          </w:p>
        </w:tc>
        <w:tc>
          <w:tcPr>
            <w:tcW w:w="2335" w:type="dxa"/>
          </w:tcPr>
          <w:p w14:paraId="5E804335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Attractiveness</w:t>
            </w:r>
          </w:p>
        </w:tc>
        <w:tc>
          <w:tcPr>
            <w:tcW w:w="2925" w:type="dxa"/>
          </w:tcPr>
          <w:p w14:paraId="799F3426" w14:textId="77777777" w:rsidR="003676DF" w:rsidRPr="00DD605F" w:rsidRDefault="003676DF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LKM is visually appealing</w:t>
            </w:r>
          </w:p>
        </w:tc>
      </w:tr>
      <w:tr w:rsidR="00F82C56" w:rsidRPr="00DD605F" w14:paraId="16FEE963" w14:textId="77777777" w:rsidTr="00DD605F">
        <w:tc>
          <w:tcPr>
            <w:tcW w:w="1763" w:type="dxa"/>
            <w:vMerge w:val="restart"/>
          </w:tcPr>
          <w:p w14:paraId="0823B972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Language (Indonesian)</w:t>
            </w:r>
          </w:p>
        </w:tc>
        <w:tc>
          <w:tcPr>
            <w:tcW w:w="2335" w:type="dxa"/>
          </w:tcPr>
          <w:p w14:paraId="5D8E06E1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Clarity</w:t>
            </w:r>
          </w:p>
        </w:tc>
        <w:tc>
          <w:tcPr>
            <w:tcW w:w="2335" w:type="dxa"/>
          </w:tcPr>
          <w:p w14:paraId="2CAAD5FB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Sentence clarity</w:t>
            </w:r>
          </w:p>
        </w:tc>
        <w:tc>
          <w:tcPr>
            <w:tcW w:w="2925" w:type="dxa"/>
          </w:tcPr>
          <w:p w14:paraId="30DFDBC5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sentences are clear and easy to understand</w:t>
            </w:r>
          </w:p>
        </w:tc>
      </w:tr>
      <w:tr w:rsidR="00F82C56" w:rsidRPr="00DD605F" w14:paraId="5E5F888E" w14:textId="77777777" w:rsidTr="00DD605F">
        <w:tc>
          <w:tcPr>
            <w:tcW w:w="1763" w:type="dxa"/>
            <w:vMerge/>
          </w:tcPr>
          <w:p w14:paraId="4C4C461E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252ACDDC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Instruction</w:t>
            </w:r>
          </w:p>
        </w:tc>
        <w:tc>
          <w:tcPr>
            <w:tcW w:w="2335" w:type="dxa"/>
          </w:tcPr>
          <w:p w14:paraId="7628260B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Instruction clarity</w:t>
            </w:r>
          </w:p>
        </w:tc>
        <w:tc>
          <w:tcPr>
            <w:tcW w:w="2925" w:type="dxa"/>
          </w:tcPr>
          <w:p w14:paraId="7D486BE1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Instructions are easy to follow</w:t>
            </w:r>
          </w:p>
        </w:tc>
      </w:tr>
      <w:tr w:rsidR="00F82C56" w:rsidRPr="00DD605F" w14:paraId="71705773" w14:textId="77777777" w:rsidTr="00DD605F">
        <w:tc>
          <w:tcPr>
            <w:tcW w:w="1763" w:type="dxa"/>
            <w:vMerge/>
          </w:tcPr>
          <w:p w14:paraId="12068622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1F5471F6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Readability</w:t>
            </w:r>
          </w:p>
        </w:tc>
        <w:tc>
          <w:tcPr>
            <w:tcW w:w="2335" w:type="dxa"/>
          </w:tcPr>
          <w:p w14:paraId="05A4B945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Supports understanding</w:t>
            </w:r>
          </w:p>
        </w:tc>
        <w:tc>
          <w:tcPr>
            <w:tcW w:w="2925" w:type="dxa"/>
          </w:tcPr>
          <w:p w14:paraId="1B6449CF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language supports student understanding</w:t>
            </w:r>
          </w:p>
        </w:tc>
      </w:tr>
      <w:tr w:rsidR="00F82C56" w:rsidRPr="00DD605F" w14:paraId="666F0C46" w14:textId="77777777" w:rsidTr="00DD605F">
        <w:tc>
          <w:tcPr>
            <w:tcW w:w="1763" w:type="dxa"/>
            <w:vMerge w:val="restart"/>
          </w:tcPr>
          <w:p w14:paraId="7DD7BB07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Language (English)</w:t>
            </w:r>
          </w:p>
        </w:tc>
        <w:tc>
          <w:tcPr>
            <w:tcW w:w="2335" w:type="dxa"/>
          </w:tcPr>
          <w:p w14:paraId="582EFD3E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Grammar</w:t>
            </w:r>
          </w:p>
        </w:tc>
        <w:tc>
          <w:tcPr>
            <w:tcW w:w="2335" w:type="dxa"/>
          </w:tcPr>
          <w:p w14:paraId="1DB61D8D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Correct grammar</w:t>
            </w:r>
          </w:p>
        </w:tc>
        <w:tc>
          <w:tcPr>
            <w:tcW w:w="2925" w:type="dxa"/>
          </w:tcPr>
          <w:p w14:paraId="6E985E85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sentences follow correct grammar rules</w:t>
            </w:r>
          </w:p>
        </w:tc>
      </w:tr>
      <w:tr w:rsidR="00F82C56" w:rsidRPr="00DD605F" w14:paraId="6759B7CB" w14:textId="77777777" w:rsidTr="00DD605F">
        <w:tc>
          <w:tcPr>
            <w:tcW w:w="1763" w:type="dxa"/>
            <w:vMerge/>
          </w:tcPr>
          <w:p w14:paraId="4D36D24A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4B2E3A32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Diction</w:t>
            </w:r>
          </w:p>
        </w:tc>
        <w:tc>
          <w:tcPr>
            <w:tcW w:w="2335" w:type="dxa"/>
          </w:tcPr>
          <w:p w14:paraId="477B7DC9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Appropriate terminology</w:t>
            </w:r>
          </w:p>
        </w:tc>
        <w:tc>
          <w:tcPr>
            <w:tcW w:w="2925" w:type="dxa"/>
          </w:tcPr>
          <w:p w14:paraId="679557E4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terminology is appropriate to context</w:t>
            </w:r>
          </w:p>
        </w:tc>
      </w:tr>
      <w:tr w:rsidR="00F82C56" w:rsidRPr="00DD605F" w14:paraId="4CB6EC14" w14:textId="77777777" w:rsidTr="00DD605F">
        <w:tc>
          <w:tcPr>
            <w:tcW w:w="1763" w:type="dxa"/>
            <w:vMerge/>
          </w:tcPr>
          <w:p w14:paraId="77ECCB26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523A59EE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Clarity</w:t>
            </w:r>
          </w:p>
        </w:tc>
        <w:tc>
          <w:tcPr>
            <w:tcW w:w="2335" w:type="dxa"/>
          </w:tcPr>
          <w:p w14:paraId="2398D34F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Easy to understand</w:t>
            </w:r>
          </w:p>
        </w:tc>
        <w:tc>
          <w:tcPr>
            <w:tcW w:w="2925" w:type="dxa"/>
          </w:tcPr>
          <w:p w14:paraId="38EF3AFE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The sentences are easy to understand</w:t>
            </w:r>
          </w:p>
        </w:tc>
      </w:tr>
      <w:tr w:rsidR="00F82C56" w:rsidRPr="00DD605F" w14:paraId="7722B9DF" w14:textId="77777777" w:rsidTr="00DD605F">
        <w:tc>
          <w:tcPr>
            <w:tcW w:w="1763" w:type="dxa"/>
            <w:vMerge/>
          </w:tcPr>
          <w:p w14:paraId="208B91E3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35" w:type="dxa"/>
          </w:tcPr>
          <w:p w14:paraId="2568640B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Instruction</w:t>
            </w:r>
          </w:p>
        </w:tc>
        <w:tc>
          <w:tcPr>
            <w:tcW w:w="2335" w:type="dxa"/>
          </w:tcPr>
          <w:p w14:paraId="30D2C4C7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Clear instructions</w:t>
            </w:r>
          </w:p>
        </w:tc>
        <w:tc>
          <w:tcPr>
            <w:tcW w:w="2925" w:type="dxa"/>
          </w:tcPr>
          <w:p w14:paraId="20D3C469" w14:textId="77777777" w:rsidR="00F82C56" w:rsidRPr="00DD605F" w:rsidRDefault="00F82C56">
            <w:pPr>
              <w:pStyle w:val="Compact"/>
              <w:rPr>
                <w:rFonts w:ascii="Times New Roman" w:hAnsi="Times New Roman" w:cs="Times New Roman"/>
                <w:sz w:val="22"/>
                <w:szCs w:val="22"/>
              </w:rPr>
            </w:pPr>
            <w:r w:rsidRPr="00DD605F">
              <w:rPr>
                <w:rFonts w:ascii="Times New Roman" w:hAnsi="Times New Roman" w:cs="Times New Roman"/>
                <w:sz w:val="22"/>
                <w:szCs w:val="22"/>
              </w:rPr>
              <w:t>Instructions are clearly presented</w:t>
            </w:r>
          </w:p>
        </w:tc>
      </w:tr>
    </w:tbl>
    <w:p w14:paraId="11254152" w14:textId="77777777" w:rsidR="00AF3DEA" w:rsidRPr="00DD605F" w:rsidRDefault="003676DF">
      <w:pPr>
        <w:pStyle w:val="FirstParagraph"/>
        <w:rPr>
          <w:rFonts w:ascii="Times New Roman" w:hAnsi="Times New Roman" w:cs="Times New Roman"/>
          <w:sz w:val="22"/>
          <w:szCs w:val="22"/>
        </w:rPr>
      </w:pPr>
      <w:r w:rsidRPr="00DD605F">
        <w:rPr>
          <w:rFonts w:ascii="Times New Roman" w:hAnsi="Times New Roman" w:cs="Times New Roman"/>
          <w:b/>
          <w:bCs/>
          <w:sz w:val="22"/>
          <w:szCs w:val="22"/>
        </w:rPr>
        <w:t>Note:</w:t>
      </w:r>
      <w:r w:rsidRPr="00DD605F">
        <w:rPr>
          <w:rFonts w:ascii="Times New Roman" w:hAnsi="Times New Roman" w:cs="Times New Roman"/>
          <w:sz w:val="22"/>
          <w:szCs w:val="22"/>
        </w:rPr>
        <w:br/>
        <w:t>The number of items in each aspect was adjusted based on the complexity of the construct and evaluation needs. All items were rated using a 5-point Likert scale ranging from strongly inappropriate (1) to strongly appropriate (5).</w:t>
      </w:r>
    </w:p>
    <w:sectPr w:rsidR="00AF3DEA" w:rsidRPr="00DD605F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96EA126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2018341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DEA"/>
    <w:rsid w:val="003676DF"/>
    <w:rsid w:val="007B532A"/>
    <w:rsid w:val="00AF3DEA"/>
    <w:rsid w:val="00DD605F"/>
    <w:rsid w:val="00F82C56"/>
    <w:rsid w:val="00FC0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4F803"/>
  <w15:docId w15:val="{40B0E0A0-37EA-4C3A-9DF0-EAA46752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BalloonText">
    <w:name w:val="Balloon Text"/>
    <w:basedOn w:val="Normal"/>
    <w:link w:val="BalloonTextChar"/>
    <w:rsid w:val="00F82C5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C5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82C5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fitriamelia1908@outlook.com</cp:lastModifiedBy>
  <cp:revision>4</cp:revision>
  <dcterms:created xsi:type="dcterms:W3CDTF">2026-06-10T04:44:00Z</dcterms:created>
  <dcterms:modified xsi:type="dcterms:W3CDTF">2026-07-15T04:07:00Z</dcterms:modified>
</cp:coreProperties>
</file>